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32" w:rsidRPr="0080056D" w:rsidRDefault="005E4332" w:rsidP="005E4332">
      <w:pPr>
        <w:spacing w:line="240" w:lineRule="auto"/>
        <w:jc w:val="center"/>
        <w:rPr>
          <w:rFonts w:ascii="Times New Roman" w:hAnsi="Times New Roman" w:cs="Times New Roman"/>
          <w:b/>
          <w:sz w:val="32"/>
          <w:szCs w:val="32"/>
        </w:rPr>
      </w:pPr>
      <w:r w:rsidRPr="0080056D">
        <w:rPr>
          <w:rFonts w:ascii="Times New Roman" w:hAnsi="Times New Roman" w:cs="Times New Roman"/>
          <w:b/>
          <w:sz w:val="32"/>
          <w:szCs w:val="32"/>
        </w:rPr>
        <w:t>Motion to Value</w:t>
      </w:r>
    </w:p>
    <w:p w:rsidR="005E4332" w:rsidRPr="0080056D" w:rsidRDefault="005E4332" w:rsidP="005E4332">
      <w:pPr>
        <w:spacing w:line="240" w:lineRule="auto"/>
        <w:jc w:val="center"/>
        <w:rPr>
          <w:rFonts w:ascii="Times New Roman" w:hAnsi="Times New Roman" w:cs="Times New Roman"/>
          <w:b/>
          <w:sz w:val="32"/>
          <w:szCs w:val="32"/>
        </w:rPr>
      </w:pPr>
      <w:r w:rsidRPr="0080056D">
        <w:rPr>
          <w:rFonts w:ascii="Times New Roman" w:hAnsi="Times New Roman" w:cs="Times New Roman"/>
          <w:b/>
          <w:sz w:val="32"/>
          <w:szCs w:val="32"/>
        </w:rPr>
        <w:t>Guidelines</w:t>
      </w:r>
      <w:r>
        <w:rPr>
          <w:rFonts w:ascii="Times New Roman" w:hAnsi="Times New Roman" w:cs="Times New Roman"/>
          <w:b/>
          <w:sz w:val="32"/>
          <w:szCs w:val="32"/>
        </w:rPr>
        <w:t xml:space="preserve"> (Updated)</w:t>
      </w:r>
    </w:p>
    <w:p w:rsidR="005E4332" w:rsidRPr="0080056D" w:rsidRDefault="005E4332" w:rsidP="005E4332">
      <w:pPr>
        <w:jc w:val="center"/>
        <w:rPr>
          <w:rFonts w:ascii="Times New Roman" w:hAnsi="Times New Roman" w:cs="Times New Roman"/>
        </w:rPr>
      </w:pPr>
      <w:r>
        <w:rPr>
          <w:rFonts w:ascii="Times New Roman" w:hAnsi="Times New Roman" w:cs="Times New Roman"/>
        </w:rPr>
        <w:t>December</w:t>
      </w:r>
      <w:r>
        <w:rPr>
          <w:rFonts w:ascii="Times New Roman" w:hAnsi="Times New Roman" w:cs="Times New Roman"/>
        </w:rPr>
        <w:t xml:space="preserve"> 1</w:t>
      </w:r>
      <w:r>
        <w:rPr>
          <w:rFonts w:ascii="Times New Roman" w:hAnsi="Times New Roman" w:cs="Times New Roman"/>
        </w:rPr>
        <w:t>1</w:t>
      </w:r>
      <w:r>
        <w:rPr>
          <w:rFonts w:ascii="Times New Roman" w:hAnsi="Times New Roman" w:cs="Times New Roman"/>
        </w:rPr>
        <w:t>, 2017</w:t>
      </w:r>
    </w:p>
    <w:p w:rsidR="005E4332" w:rsidRPr="0080056D" w:rsidRDefault="005E4332" w:rsidP="005E4332">
      <w:pPr>
        <w:rPr>
          <w:rFonts w:ascii="Times New Roman" w:hAnsi="Times New Roman" w:cs="Times New Roman"/>
        </w:rPr>
      </w:pPr>
      <w:r w:rsidRPr="0080056D">
        <w:rPr>
          <w:rFonts w:ascii="Times New Roman" w:hAnsi="Times New Roman" w:cs="Times New Roman"/>
        </w:rPr>
        <w:t xml:space="preserve">A Chapter 13 debtor seeking to modify a claim that is secured only by a security interest in real property that is the debtor’s </w:t>
      </w:r>
      <w:r w:rsidRPr="0080056D">
        <w:rPr>
          <w:rFonts w:ascii="Times New Roman" w:hAnsi="Times New Roman" w:cs="Times New Roman"/>
          <w:u w:val="single"/>
        </w:rPr>
        <w:t>principal</w:t>
      </w:r>
      <w:r w:rsidRPr="0080056D">
        <w:rPr>
          <w:rFonts w:ascii="Times New Roman" w:hAnsi="Times New Roman" w:cs="Times New Roman"/>
        </w:rPr>
        <w:t xml:space="preserve"> residence must provide for that modification in the plan and must </w:t>
      </w:r>
      <w:r w:rsidRPr="0080056D">
        <w:rPr>
          <w:rFonts w:ascii="Times New Roman" w:hAnsi="Times New Roman" w:cs="Times New Roman"/>
          <w:u w:val="single"/>
        </w:rPr>
        <w:t>bring a motion</w:t>
      </w:r>
      <w:r w:rsidRPr="0080056D">
        <w:rPr>
          <w:rFonts w:ascii="Times New Roman" w:hAnsi="Times New Roman" w:cs="Times New Roman"/>
        </w:rPr>
        <w:t xml:space="preserve"> to determine the value of the secured claim.  LR 3012-1(a).</w:t>
      </w:r>
    </w:p>
    <w:p w:rsidR="005E4332" w:rsidRPr="0080056D" w:rsidRDefault="005E4332" w:rsidP="005E4332">
      <w:pPr>
        <w:rPr>
          <w:rFonts w:ascii="Times New Roman" w:hAnsi="Times New Roman" w:cs="Times New Roman"/>
          <w:b/>
        </w:rPr>
      </w:pPr>
      <w:r w:rsidRPr="0080056D">
        <w:rPr>
          <w:rFonts w:ascii="Times New Roman" w:hAnsi="Times New Roman" w:cs="Times New Roman"/>
          <w:b/>
        </w:rPr>
        <w:t>The plan should include text similar to the following:</w:t>
      </w:r>
    </w:p>
    <w:p w:rsidR="005E4332" w:rsidRDefault="005E4332" w:rsidP="005E4332">
      <w:pPr>
        <w:rPr>
          <w:rFonts w:ascii="Times New Roman" w:hAnsi="Times New Roman" w:cs="Times New Roman"/>
        </w:rPr>
      </w:pPr>
      <w:r w:rsidRPr="0080056D">
        <w:rPr>
          <w:rFonts w:ascii="Times New Roman" w:hAnsi="Times New Roman" w:cs="Times New Roman"/>
        </w:rPr>
        <w:t>The Debtors’ principal residence located at       and legally described as      ,       County, Minnesota (hereinafter “the subject real property”), is encumbered by a first mortgage in favor of       with a balance as of the date of filing of this petition of $     , and a second mortgage in favor of       (hereinafter “the second-mortgage holder”) with a balance as of the date of filing of this petition of $     .  The Debtors have obtained an independent appraisal of the subject real property on      , which appraised the fair market value of the subject real property as $     .  Claims filed by or on behalf of the second-mortgage holder are included in the unsecured non-priority class of c</w:t>
      </w:r>
      <w:r>
        <w:rPr>
          <w:rFonts w:ascii="Times New Roman" w:hAnsi="Times New Roman" w:cs="Times New Roman"/>
        </w:rPr>
        <w:t>laims described</w:t>
      </w:r>
      <w:r>
        <w:rPr>
          <w:rFonts w:ascii="Times New Roman" w:hAnsi="Times New Roman" w:cs="Times New Roman"/>
        </w:rPr>
        <w:t xml:space="preserve"> above</w:t>
      </w:r>
      <w:r w:rsidRPr="0080056D">
        <w:rPr>
          <w:rFonts w:ascii="Times New Roman" w:hAnsi="Times New Roman" w:cs="Times New Roman"/>
        </w:rPr>
        <w:t xml:space="preserve">, notwithstanding the second mortgage in favor of the second-mortgage holder encumbering the subject real property.  Debtors will cause to be filed a Motion to Value Claim of the second-mortgage holder to be heard concurrent with the hearing to confirm this plan, which will seek to have the claim of the second-mortgage holder classified, treated, and considered as wholly unsecured pursuant to 11 U.S.C. § 506(a) for purposes of administration of this Chapter 13 plan.  Upon completion of all payments by the Debtors due to the Trustee under this Plan or any modified Plan, the Debtors may request supplemental relief as specified in Local Rule 3012-1.  </w:t>
      </w:r>
    </w:p>
    <w:p w:rsidR="005E4332" w:rsidRPr="00820F9A" w:rsidRDefault="005E4332" w:rsidP="005E4332">
      <w:pPr>
        <w:rPr>
          <w:rFonts w:ascii="Times New Roman" w:hAnsi="Times New Roman" w:cs="Times New Roman"/>
        </w:rPr>
      </w:pPr>
      <w:r>
        <w:rPr>
          <w:rFonts w:ascii="Times New Roman" w:hAnsi="Times New Roman" w:cs="Times New Roman"/>
          <w:b/>
        </w:rPr>
        <w:t xml:space="preserve">The hearing on the motion must be scheduled to be held contemporaneously with the confirmation hearing on the Chapter 13 plan. </w:t>
      </w:r>
      <w:r>
        <w:rPr>
          <w:rFonts w:ascii="Times New Roman" w:hAnsi="Times New Roman" w:cs="Times New Roman"/>
        </w:rPr>
        <w:t>LR 3012-1(a)(4).</w:t>
      </w:r>
    </w:p>
    <w:p w:rsidR="005E4332" w:rsidRPr="0080056D" w:rsidRDefault="005E4332" w:rsidP="005E4332">
      <w:pPr>
        <w:rPr>
          <w:rFonts w:ascii="Times New Roman" w:hAnsi="Times New Roman" w:cs="Times New Roman"/>
          <w:b/>
        </w:rPr>
      </w:pPr>
      <w:r w:rsidRPr="0080056D">
        <w:rPr>
          <w:rFonts w:ascii="Times New Roman" w:hAnsi="Times New Roman" w:cs="Times New Roman"/>
          <w:b/>
        </w:rPr>
        <w:t>The motion should include the following text or information:</w:t>
      </w:r>
    </w:p>
    <w:p w:rsidR="005E4332" w:rsidRDefault="005E4332" w:rsidP="005E4332">
      <w:pPr>
        <w:pStyle w:val="ListParagraph"/>
        <w:numPr>
          <w:ilvl w:val="0"/>
          <w:numId w:val="1"/>
        </w:numPr>
        <w:rPr>
          <w:rFonts w:ascii="Times New Roman" w:hAnsi="Times New Roman" w:cs="Times New Roman"/>
        </w:rPr>
      </w:pPr>
      <w:r>
        <w:rPr>
          <w:rFonts w:ascii="Times New Roman" w:hAnsi="Times New Roman" w:cs="Times New Roman"/>
        </w:rPr>
        <w:t>In the motion title: t</w:t>
      </w:r>
      <w:r w:rsidRPr="0080056D">
        <w:rPr>
          <w:rFonts w:ascii="Times New Roman" w:hAnsi="Times New Roman" w:cs="Times New Roman"/>
        </w:rPr>
        <w:t>he name of the affected creditor</w:t>
      </w:r>
      <w:r>
        <w:rPr>
          <w:rFonts w:ascii="Times New Roman" w:hAnsi="Times New Roman" w:cs="Times New Roman"/>
        </w:rPr>
        <w:t xml:space="preserve"> determined no more than 30 days before the hearing originally scheduled on the motion</w:t>
      </w:r>
      <w:r w:rsidRPr="0080056D">
        <w:rPr>
          <w:rFonts w:ascii="Times New Roman" w:hAnsi="Times New Roman" w:cs="Times New Roman"/>
        </w:rPr>
        <w:t>. LR</w:t>
      </w:r>
      <w:r>
        <w:rPr>
          <w:rFonts w:ascii="Times New Roman" w:hAnsi="Times New Roman" w:cs="Times New Roman"/>
        </w:rPr>
        <w:t xml:space="preserve"> 3012-1(a)(1)(A)</w:t>
      </w:r>
      <w:r w:rsidRPr="0080056D">
        <w:rPr>
          <w:rFonts w:ascii="Times New Roman" w:hAnsi="Times New Roman" w:cs="Times New Roman"/>
        </w:rPr>
        <w:t>.</w:t>
      </w:r>
    </w:p>
    <w:p w:rsidR="005E4332" w:rsidRPr="0080056D" w:rsidRDefault="005E4332" w:rsidP="005E4332">
      <w:pPr>
        <w:pStyle w:val="ListParagraph"/>
        <w:ind w:left="360"/>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sidRPr="0080056D">
        <w:rPr>
          <w:rFonts w:ascii="Times New Roman" w:hAnsi="Times New Roman" w:cs="Times New Roman"/>
        </w:rPr>
        <w:t xml:space="preserve">The statement that “[t]he motion is to determine the secured status of the creditor’s claim for the purpose of confirmation of </w:t>
      </w:r>
      <w:r>
        <w:rPr>
          <w:rFonts w:ascii="Times New Roman" w:hAnsi="Times New Roman" w:cs="Times New Roman"/>
        </w:rPr>
        <w:t>the debtor’s plan.”  LR 3012-1(a)(1</w:t>
      </w:r>
      <w:r w:rsidRPr="0080056D">
        <w:rPr>
          <w:rFonts w:ascii="Times New Roman" w:hAnsi="Times New Roman" w:cs="Times New Roman"/>
        </w:rPr>
        <w:t>)(</w:t>
      </w:r>
      <w:r>
        <w:rPr>
          <w:rFonts w:ascii="Times New Roman" w:hAnsi="Times New Roman" w:cs="Times New Roman"/>
        </w:rPr>
        <w:t>B</w:t>
      </w:r>
      <w:r w:rsidRPr="0080056D">
        <w:rPr>
          <w:rFonts w:ascii="Times New Roman" w:hAnsi="Times New Roman" w:cs="Times New Roman"/>
        </w:rPr>
        <w:t>).</w:t>
      </w:r>
    </w:p>
    <w:p w:rsidR="005E4332" w:rsidRPr="00DF7920" w:rsidRDefault="005E4332" w:rsidP="005E4332">
      <w:pPr>
        <w:pStyle w:val="ListParagraph"/>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Pr>
          <w:rFonts w:ascii="Times New Roman" w:hAnsi="Times New Roman" w:cs="Times New Roman"/>
        </w:rPr>
        <w:t xml:space="preserve">The appraised value of the property on the petition date. LR 3012-1(a)(1)(C). </w:t>
      </w:r>
    </w:p>
    <w:p w:rsidR="005E4332" w:rsidRPr="000239E2" w:rsidRDefault="005E4332" w:rsidP="005E4332">
      <w:pPr>
        <w:pStyle w:val="ListParagraph"/>
        <w:ind w:left="360"/>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sidRPr="0080056D">
        <w:rPr>
          <w:rFonts w:ascii="Times New Roman" w:hAnsi="Times New Roman" w:cs="Times New Roman"/>
        </w:rPr>
        <w:t>The statement that “[t]he debtor’s plan proposes to treat the creditor’s claim as unsecure</w:t>
      </w:r>
      <w:r>
        <w:rPr>
          <w:rFonts w:ascii="Times New Roman" w:hAnsi="Times New Roman" w:cs="Times New Roman"/>
        </w:rPr>
        <w:t>d in its entirety.”  LR 3012-1(a</w:t>
      </w:r>
      <w:r w:rsidRPr="0080056D">
        <w:rPr>
          <w:rFonts w:ascii="Times New Roman" w:hAnsi="Times New Roman" w:cs="Times New Roman"/>
        </w:rPr>
        <w:t>)(</w:t>
      </w:r>
      <w:r>
        <w:rPr>
          <w:rFonts w:ascii="Times New Roman" w:hAnsi="Times New Roman" w:cs="Times New Roman"/>
        </w:rPr>
        <w:t>1</w:t>
      </w:r>
      <w:r w:rsidRPr="0080056D">
        <w:rPr>
          <w:rFonts w:ascii="Times New Roman" w:hAnsi="Times New Roman" w:cs="Times New Roman"/>
        </w:rPr>
        <w:t>)(</w:t>
      </w:r>
      <w:r>
        <w:rPr>
          <w:rFonts w:ascii="Times New Roman" w:hAnsi="Times New Roman" w:cs="Times New Roman"/>
        </w:rPr>
        <w:t>D</w:t>
      </w:r>
      <w:r w:rsidRPr="0080056D">
        <w:rPr>
          <w:rFonts w:ascii="Times New Roman" w:hAnsi="Times New Roman" w:cs="Times New Roman"/>
        </w:rPr>
        <w:t>).</w:t>
      </w:r>
    </w:p>
    <w:p w:rsidR="005E4332" w:rsidRPr="0080056D" w:rsidRDefault="005E4332" w:rsidP="005E4332">
      <w:pPr>
        <w:pStyle w:val="ListParagraph"/>
        <w:ind w:left="360"/>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sidRPr="0080056D">
        <w:rPr>
          <w:rFonts w:ascii="Times New Roman" w:hAnsi="Times New Roman" w:cs="Times New Roman"/>
        </w:rPr>
        <w:t>The address and legal description of the property</w:t>
      </w:r>
      <w:r>
        <w:rPr>
          <w:rFonts w:ascii="Times New Roman" w:hAnsi="Times New Roman" w:cs="Times New Roman"/>
        </w:rPr>
        <w:t>.  LR 3012-1(a)(1</w:t>
      </w:r>
      <w:r w:rsidRPr="0080056D">
        <w:rPr>
          <w:rFonts w:ascii="Times New Roman" w:hAnsi="Times New Roman" w:cs="Times New Roman"/>
        </w:rPr>
        <w:t>)(</w:t>
      </w:r>
      <w:r>
        <w:rPr>
          <w:rFonts w:ascii="Times New Roman" w:hAnsi="Times New Roman" w:cs="Times New Roman"/>
        </w:rPr>
        <w:t>E</w:t>
      </w:r>
      <w:r w:rsidRPr="0080056D">
        <w:rPr>
          <w:rFonts w:ascii="Times New Roman" w:hAnsi="Times New Roman" w:cs="Times New Roman"/>
        </w:rPr>
        <w:t>).</w:t>
      </w:r>
    </w:p>
    <w:p w:rsidR="005E4332" w:rsidRPr="00DF7920" w:rsidRDefault="005E4332" w:rsidP="005E4332">
      <w:pPr>
        <w:pStyle w:val="ListParagraph"/>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Pr>
          <w:rFonts w:ascii="Times New Roman" w:hAnsi="Times New Roman" w:cs="Times New Roman"/>
        </w:rPr>
        <w:t>The balance of the debt owing to the creditor on the petition date. LR 3012-1(a)(1)(F).</w:t>
      </w:r>
    </w:p>
    <w:p w:rsidR="005E4332" w:rsidRPr="00DF7920" w:rsidRDefault="005E4332" w:rsidP="005E4332">
      <w:pPr>
        <w:pStyle w:val="ListParagraph"/>
        <w:rPr>
          <w:rFonts w:ascii="Times New Roman" w:hAnsi="Times New Roman" w:cs="Times New Roman"/>
        </w:rPr>
      </w:pPr>
    </w:p>
    <w:p w:rsidR="005E4332" w:rsidRDefault="005E4332" w:rsidP="005E4332">
      <w:pPr>
        <w:pStyle w:val="ListParagraph"/>
        <w:numPr>
          <w:ilvl w:val="0"/>
          <w:numId w:val="1"/>
        </w:numPr>
        <w:rPr>
          <w:rFonts w:ascii="Times New Roman" w:hAnsi="Times New Roman" w:cs="Times New Roman"/>
        </w:rPr>
      </w:pPr>
      <w:r w:rsidRPr="00243540">
        <w:rPr>
          <w:rFonts w:ascii="Times New Roman" w:hAnsi="Times New Roman" w:cs="Times New Roman"/>
        </w:rPr>
        <w:t xml:space="preserve">Determined within 30 days of the original hearing date: the name of each lienholder and any related lender and servicer, the amount of debt owing with respect to each lien, and the priority of each such lien. LR 3012-1(a)(1)(G). </w:t>
      </w:r>
    </w:p>
    <w:p w:rsidR="005E4332" w:rsidRDefault="005E4332" w:rsidP="005E4332">
      <w:pPr>
        <w:pStyle w:val="ListParagraph"/>
        <w:numPr>
          <w:ilvl w:val="1"/>
          <w:numId w:val="1"/>
        </w:numPr>
        <w:rPr>
          <w:rFonts w:ascii="Times New Roman" w:hAnsi="Times New Roman" w:cs="Times New Roman"/>
        </w:rPr>
      </w:pPr>
      <w:r>
        <w:rPr>
          <w:rFonts w:ascii="Times New Roman" w:hAnsi="Times New Roman" w:cs="Times New Roman"/>
        </w:rPr>
        <w:t>T</w:t>
      </w:r>
      <w:r w:rsidRPr="00243540">
        <w:rPr>
          <w:rFonts w:ascii="Times New Roman" w:hAnsi="Times New Roman" w:cs="Times New Roman"/>
        </w:rPr>
        <w:t xml:space="preserve">his includes judgment creditors, e.g., HOAs.  </w:t>
      </w:r>
    </w:p>
    <w:p w:rsidR="005E4332" w:rsidRPr="00243540" w:rsidRDefault="005E4332" w:rsidP="005E4332">
      <w:pPr>
        <w:pStyle w:val="ListParagraph"/>
        <w:numPr>
          <w:ilvl w:val="1"/>
          <w:numId w:val="1"/>
        </w:numPr>
        <w:rPr>
          <w:rFonts w:ascii="Times New Roman" w:hAnsi="Times New Roman" w:cs="Times New Roman"/>
        </w:rPr>
      </w:pPr>
      <w:r w:rsidRPr="00243540">
        <w:rPr>
          <w:rFonts w:ascii="Times New Roman" w:hAnsi="Times New Roman" w:cs="Times New Roman"/>
        </w:rPr>
        <w:t>Clearly explain complicated or unusual “chains of ownership” and include proper POAs, evidence of merger, name changes, assignments, or any other document necessary to complete the chain.</w:t>
      </w:r>
    </w:p>
    <w:p w:rsidR="005E4332" w:rsidRDefault="005E4332" w:rsidP="005E4332">
      <w:pPr>
        <w:pStyle w:val="ListParagraph"/>
        <w:ind w:left="360"/>
        <w:rPr>
          <w:rFonts w:ascii="Times New Roman" w:hAnsi="Times New Roman" w:cs="Times New Roman"/>
        </w:rPr>
      </w:pPr>
    </w:p>
    <w:p w:rsidR="005E4332" w:rsidRPr="000239E2" w:rsidRDefault="005E4332" w:rsidP="005E4332">
      <w:pPr>
        <w:pStyle w:val="ListParagraph"/>
        <w:numPr>
          <w:ilvl w:val="0"/>
          <w:numId w:val="1"/>
        </w:numPr>
        <w:rPr>
          <w:rFonts w:ascii="Times New Roman" w:hAnsi="Times New Roman" w:cs="Times New Roman"/>
        </w:rPr>
      </w:pPr>
      <w:r w:rsidRPr="0080056D">
        <w:rPr>
          <w:rFonts w:ascii="Times New Roman" w:hAnsi="Times New Roman" w:cs="Times New Roman"/>
        </w:rPr>
        <w:t>The motion should state the date that the case was filed.  Local Form 9013-2.</w:t>
      </w:r>
    </w:p>
    <w:p w:rsidR="005E4332" w:rsidRPr="0080056D" w:rsidRDefault="005E4332" w:rsidP="005E4332">
      <w:pPr>
        <w:rPr>
          <w:rFonts w:ascii="Times New Roman" w:hAnsi="Times New Roman" w:cs="Times New Roman"/>
        </w:rPr>
      </w:pPr>
      <w:r w:rsidRPr="0080056D">
        <w:rPr>
          <w:rFonts w:ascii="Times New Roman" w:hAnsi="Times New Roman" w:cs="Times New Roman"/>
          <w:b/>
        </w:rPr>
        <w:t xml:space="preserve">The </w:t>
      </w:r>
      <w:r>
        <w:rPr>
          <w:rFonts w:ascii="Times New Roman" w:hAnsi="Times New Roman" w:cs="Times New Roman"/>
          <w:b/>
        </w:rPr>
        <w:t>motion must include the following attachments</w:t>
      </w:r>
      <w:r w:rsidRPr="0080056D">
        <w:rPr>
          <w:rFonts w:ascii="Times New Roman" w:hAnsi="Times New Roman" w:cs="Times New Roman"/>
          <w:b/>
        </w:rPr>
        <w:t>:</w:t>
      </w:r>
    </w:p>
    <w:p w:rsidR="005E4332" w:rsidRPr="00B66302" w:rsidRDefault="005E4332" w:rsidP="005E4332">
      <w:pPr>
        <w:pStyle w:val="ListParagraph"/>
        <w:numPr>
          <w:ilvl w:val="0"/>
          <w:numId w:val="2"/>
        </w:numPr>
        <w:rPr>
          <w:rFonts w:ascii="Times New Roman" w:hAnsi="Times New Roman" w:cs="Times New Roman"/>
        </w:rPr>
      </w:pPr>
      <w:r w:rsidRPr="00B66302">
        <w:rPr>
          <w:rFonts w:ascii="Times New Roman" w:hAnsi="Times New Roman" w:cs="Times New Roman"/>
        </w:rPr>
        <w:t>Per LR 3012-1(a)(2), the motion must include the documents required by LR 9013-2(a):</w:t>
      </w:r>
    </w:p>
    <w:p w:rsidR="005E4332" w:rsidRPr="0080056D" w:rsidRDefault="005E4332" w:rsidP="005E4332">
      <w:pPr>
        <w:pStyle w:val="ListParagraph"/>
        <w:numPr>
          <w:ilvl w:val="1"/>
          <w:numId w:val="2"/>
        </w:numPr>
        <w:rPr>
          <w:rFonts w:ascii="Times New Roman" w:hAnsi="Times New Roman" w:cs="Times New Roman"/>
        </w:rPr>
      </w:pPr>
      <w:r w:rsidRPr="0080056D">
        <w:rPr>
          <w:rFonts w:ascii="Times New Roman" w:hAnsi="Times New Roman" w:cs="Times New Roman"/>
        </w:rPr>
        <w:t>A notice of hearing (generally part of the motion) that states the time by which a response must be filed and that unless a response opposing the motion is timely filed, the court may grant the motion without a hearing;</w:t>
      </w:r>
    </w:p>
    <w:p w:rsidR="005E4332" w:rsidRPr="0080056D" w:rsidRDefault="005E4332" w:rsidP="005E4332">
      <w:pPr>
        <w:pStyle w:val="ListParagraph"/>
        <w:numPr>
          <w:ilvl w:val="1"/>
          <w:numId w:val="2"/>
        </w:numPr>
        <w:rPr>
          <w:rFonts w:ascii="Times New Roman" w:hAnsi="Times New Roman" w:cs="Times New Roman"/>
        </w:rPr>
      </w:pPr>
      <w:r w:rsidRPr="0080056D">
        <w:rPr>
          <w:rFonts w:ascii="Times New Roman" w:hAnsi="Times New Roman" w:cs="Times New Roman"/>
        </w:rPr>
        <w:t xml:space="preserve">An affidavit or verification of the motion (by someone with knowledge, e.g., the debtor(s), </w:t>
      </w:r>
      <w:r w:rsidRPr="0080056D">
        <w:rPr>
          <w:rFonts w:ascii="Times New Roman" w:hAnsi="Times New Roman" w:cs="Times New Roman"/>
          <w:u w:val="single"/>
        </w:rPr>
        <w:t>not the attorney</w:t>
      </w:r>
      <w:r w:rsidRPr="0080056D">
        <w:rPr>
          <w:rFonts w:ascii="Times New Roman" w:hAnsi="Times New Roman" w:cs="Times New Roman"/>
        </w:rPr>
        <w:t>).  Use the motion verification form, not the signature declaration form;</w:t>
      </w:r>
    </w:p>
    <w:p w:rsidR="005E4332" w:rsidRPr="0080056D" w:rsidRDefault="005E4332" w:rsidP="005E4332">
      <w:pPr>
        <w:pStyle w:val="ListParagraph"/>
        <w:numPr>
          <w:ilvl w:val="1"/>
          <w:numId w:val="2"/>
        </w:numPr>
        <w:rPr>
          <w:rFonts w:ascii="Times New Roman" w:hAnsi="Times New Roman" w:cs="Times New Roman"/>
        </w:rPr>
      </w:pPr>
      <w:r w:rsidRPr="0080056D">
        <w:rPr>
          <w:rFonts w:ascii="Times New Roman" w:hAnsi="Times New Roman" w:cs="Times New Roman"/>
        </w:rPr>
        <w:t>A memorandum of facts and law;</w:t>
      </w:r>
    </w:p>
    <w:p w:rsidR="005E4332" w:rsidRPr="0080056D" w:rsidRDefault="005E4332" w:rsidP="005E4332">
      <w:pPr>
        <w:pStyle w:val="ListParagraph"/>
        <w:numPr>
          <w:ilvl w:val="1"/>
          <w:numId w:val="2"/>
        </w:numPr>
        <w:rPr>
          <w:rFonts w:ascii="Times New Roman" w:hAnsi="Times New Roman" w:cs="Times New Roman"/>
        </w:rPr>
      </w:pPr>
      <w:r w:rsidRPr="0080056D">
        <w:rPr>
          <w:rFonts w:ascii="Times New Roman" w:hAnsi="Times New Roman" w:cs="Times New Roman"/>
        </w:rPr>
        <w:t xml:space="preserve">A proposed order. Generally, the proposed order should only be one sentence; e.g. “The claim of [lienholder] associated with a mortgage against the debtor’s principal residence is wholly unsecured pursuant to 11 U.S.C. 506.” </w:t>
      </w:r>
      <w:r>
        <w:rPr>
          <w:rFonts w:ascii="Times New Roman" w:hAnsi="Times New Roman" w:cs="Times New Roman"/>
          <w:i/>
        </w:rPr>
        <w:t xml:space="preserve">See </w:t>
      </w:r>
      <w:r>
        <w:rPr>
          <w:rFonts w:ascii="Times New Roman" w:hAnsi="Times New Roman" w:cs="Times New Roman"/>
        </w:rPr>
        <w:t>LR 3012-1(a)(5).</w:t>
      </w:r>
      <w:r w:rsidRPr="0080056D">
        <w:rPr>
          <w:rFonts w:ascii="Times New Roman" w:hAnsi="Times New Roman" w:cs="Times New Roman"/>
        </w:rPr>
        <w:t xml:space="preserve"> </w:t>
      </w:r>
    </w:p>
    <w:p w:rsidR="005E4332" w:rsidRDefault="005E4332" w:rsidP="005E4332">
      <w:pPr>
        <w:pStyle w:val="ListParagraph"/>
        <w:numPr>
          <w:ilvl w:val="1"/>
          <w:numId w:val="2"/>
        </w:numPr>
        <w:rPr>
          <w:rFonts w:ascii="Times New Roman" w:hAnsi="Times New Roman" w:cs="Times New Roman"/>
        </w:rPr>
      </w:pPr>
      <w:r w:rsidRPr="0080056D">
        <w:rPr>
          <w:rFonts w:ascii="Times New Roman" w:hAnsi="Times New Roman" w:cs="Times New Roman"/>
        </w:rPr>
        <w:t>A document showing proof of service on parties not automatically served through the court’s ECF system (although listing the parties served through ECF is helpful).</w:t>
      </w:r>
    </w:p>
    <w:p w:rsidR="005E4332" w:rsidRPr="0080056D" w:rsidRDefault="005E4332" w:rsidP="005E4332">
      <w:pPr>
        <w:pStyle w:val="ListParagraph"/>
        <w:rPr>
          <w:rFonts w:ascii="Times New Roman" w:hAnsi="Times New Roman" w:cs="Times New Roman"/>
        </w:rPr>
      </w:pPr>
    </w:p>
    <w:p w:rsidR="005E4332" w:rsidRDefault="005E4332" w:rsidP="005E4332">
      <w:pPr>
        <w:pStyle w:val="ListParagraph"/>
        <w:numPr>
          <w:ilvl w:val="0"/>
          <w:numId w:val="2"/>
        </w:numPr>
        <w:rPr>
          <w:rFonts w:ascii="Times New Roman" w:hAnsi="Times New Roman" w:cs="Times New Roman"/>
        </w:rPr>
      </w:pPr>
      <w:r>
        <w:rPr>
          <w:rFonts w:ascii="Times New Roman" w:hAnsi="Times New Roman" w:cs="Times New Roman"/>
        </w:rPr>
        <w:t>Copies of all recorded lien instruments, including all recorded assignments and amendments, evidencing the lien which is the subject of the motion. LR 3012-1(a)(2)(A).</w:t>
      </w:r>
    </w:p>
    <w:p w:rsidR="005E4332" w:rsidRPr="0080056D" w:rsidRDefault="005E4332" w:rsidP="005E4332">
      <w:pPr>
        <w:pStyle w:val="ListParagraph"/>
        <w:ind w:left="360"/>
        <w:rPr>
          <w:rFonts w:ascii="Times New Roman" w:hAnsi="Times New Roman" w:cs="Times New Roman"/>
        </w:rPr>
      </w:pPr>
    </w:p>
    <w:p w:rsidR="005E4332" w:rsidRPr="000239E2" w:rsidRDefault="005E4332" w:rsidP="005E4332">
      <w:pPr>
        <w:pStyle w:val="ListParagraph"/>
        <w:numPr>
          <w:ilvl w:val="0"/>
          <w:numId w:val="2"/>
        </w:numPr>
        <w:rPr>
          <w:rFonts w:ascii="Times New Roman" w:hAnsi="Times New Roman" w:cs="Times New Roman"/>
        </w:rPr>
      </w:pPr>
      <w:r w:rsidRPr="0080056D">
        <w:rPr>
          <w:rFonts w:ascii="Times New Roman" w:hAnsi="Times New Roman" w:cs="Times New Roman"/>
        </w:rPr>
        <w:t>An owners and encumbrance report</w:t>
      </w:r>
      <w:r>
        <w:rPr>
          <w:rFonts w:ascii="Times New Roman" w:hAnsi="Times New Roman" w:cs="Times New Roman"/>
        </w:rPr>
        <w:t xml:space="preserve"> certified no more than 30 days before the original hearing date</w:t>
      </w:r>
      <w:r w:rsidRPr="0080056D">
        <w:rPr>
          <w:rFonts w:ascii="Times New Roman" w:hAnsi="Times New Roman" w:cs="Times New Roman"/>
        </w:rPr>
        <w:t>.</w:t>
      </w:r>
    </w:p>
    <w:p w:rsidR="005E4332" w:rsidRDefault="005E4332" w:rsidP="005E4332">
      <w:pPr>
        <w:pStyle w:val="ListParagraph"/>
        <w:ind w:left="360"/>
        <w:rPr>
          <w:rFonts w:ascii="Times New Roman" w:hAnsi="Times New Roman" w:cs="Times New Roman"/>
        </w:rPr>
      </w:pPr>
      <w:r>
        <w:rPr>
          <w:rFonts w:ascii="Times New Roman" w:hAnsi="Times New Roman" w:cs="Times New Roman"/>
        </w:rPr>
        <w:t>LR 3012-1(a)(2)(B).</w:t>
      </w:r>
    </w:p>
    <w:p w:rsidR="005E4332" w:rsidRPr="0080056D" w:rsidRDefault="005E4332" w:rsidP="005E4332">
      <w:pPr>
        <w:pStyle w:val="ListParagraph"/>
        <w:ind w:left="360"/>
        <w:rPr>
          <w:rFonts w:ascii="Times New Roman" w:hAnsi="Times New Roman" w:cs="Times New Roman"/>
        </w:rPr>
      </w:pPr>
    </w:p>
    <w:p w:rsidR="005E4332" w:rsidRPr="000239E2" w:rsidRDefault="005E4332" w:rsidP="005E4332">
      <w:pPr>
        <w:pStyle w:val="ListParagraph"/>
        <w:numPr>
          <w:ilvl w:val="0"/>
          <w:numId w:val="2"/>
        </w:numPr>
        <w:rPr>
          <w:rFonts w:ascii="Times New Roman" w:hAnsi="Times New Roman" w:cs="Times New Roman"/>
        </w:rPr>
      </w:pPr>
      <w:r w:rsidRPr="0080056D">
        <w:rPr>
          <w:rFonts w:ascii="Times New Roman" w:hAnsi="Times New Roman" w:cs="Times New Roman"/>
        </w:rPr>
        <w:t xml:space="preserve">A copy of the debtor’s </w:t>
      </w:r>
      <w:r w:rsidRPr="0080056D">
        <w:rPr>
          <w:rFonts w:ascii="Times New Roman" w:hAnsi="Times New Roman" w:cs="Times New Roman"/>
          <w:u w:val="single"/>
        </w:rPr>
        <w:t>current</w:t>
      </w:r>
      <w:r w:rsidRPr="0080056D">
        <w:rPr>
          <w:rFonts w:ascii="Times New Roman" w:hAnsi="Times New Roman" w:cs="Times New Roman"/>
        </w:rPr>
        <w:t xml:space="preserve"> plan.  </w:t>
      </w:r>
      <w:r>
        <w:rPr>
          <w:rFonts w:ascii="Times New Roman" w:hAnsi="Times New Roman" w:cs="Times New Roman"/>
        </w:rPr>
        <w:t>LR 3012-1(a</w:t>
      </w:r>
      <w:r w:rsidRPr="0080056D">
        <w:rPr>
          <w:rFonts w:ascii="Times New Roman" w:hAnsi="Times New Roman" w:cs="Times New Roman"/>
        </w:rPr>
        <w:t>)(</w:t>
      </w:r>
      <w:r>
        <w:rPr>
          <w:rFonts w:ascii="Times New Roman" w:hAnsi="Times New Roman" w:cs="Times New Roman"/>
        </w:rPr>
        <w:t>2</w:t>
      </w:r>
      <w:r w:rsidRPr="0080056D">
        <w:rPr>
          <w:rFonts w:ascii="Times New Roman" w:hAnsi="Times New Roman" w:cs="Times New Roman"/>
        </w:rPr>
        <w:t>)(C).  Note: additional service may be required if the plan is modified after service of the motion but before it is granted.</w:t>
      </w:r>
    </w:p>
    <w:p w:rsidR="005E4332" w:rsidRPr="0080056D" w:rsidRDefault="005E4332" w:rsidP="005E4332">
      <w:pPr>
        <w:pStyle w:val="ListParagraph"/>
        <w:ind w:left="360"/>
        <w:rPr>
          <w:rFonts w:ascii="Times New Roman" w:hAnsi="Times New Roman" w:cs="Times New Roman"/>
        </w:rPr>
      </w:pPr>
    </w:p>
    <w:p w:rsidR="005E4332" w:rsidRDefault="005E4332" w:rsidP="005E4332">
      <w:pPr>
        <w:pStyle w:val="ListParagraph"/>
        <w:numPr>
          <w:ilvl w:val="0"/>
          <w:numId w:val="2"/>
        </w:numPr>
        <w:rPr>
          <w:rFonts w:ascii="Times New Roman" w:hAnsi="Times New Roman" w:cs="Times New Roman"/>
        </w:rPr>
      </w:pPr>
      <w:r>
        <w:rPr>
          <w:rFonts w:ascii="Times New Roman" w:hAnsi="Times New Roman" w:cs="Times New Roman"/>
        </w:rPr>
        <w:t>An appraisal of the fair market value of the property as of the commencement of the Chapter 13 case</w:t>
      </w:r>
      <w:r w:rsidRPr="0080056D">
        <w:rPr>
          <w:rFonts w:ascii="Times New Roman" w:hAnsi="Times New Roman" w:cs="Times New Roman"/>
        </w:rPr>
        <w:t>.</w:t>
      </w:r>
      <w:r>
        <w:rPr>
          <w:rFonts w:ascii="Times New Roman" w:hAnsi="Times New Roman" w:cs="Times New Roman"/>
        </w:rPr>
        <w:t xml:space="preserve"> LR 3012(a)(2)(D).</w:t>
      </w:r>
    </w:p>
    <w:p w:rsidR="005E4332" w:rsidRPr="003450FB" w:rsidRDefault="005E4332" w:rsidP="005E4332">
      <w:pPr>
        <w:pStyle w:val="ListParagraph"/>
        <w:rPr>
          <w:rFonts w:ascii="Times New Roman" w:hAnsi="Times New Roman" w:cs="Times New Roman"/>
        </w:rPr>
      </w:pPr>
    </w:p>
    <w:p w:rsidR="005E4332" w:rsidRDefault="005E4332" w:rsidP="005E4332">
      <w:pPr>
        <w:pStyle w:val="ListParagraph"/>
        <w:numPr>
          <w:ilvl w:val="0"/>
          <w:numId w:val="2"/>
        </w:numPr>
        <w:rPr>
          <w:rFonts w:ascii="Times New Roman" w:hAnsi="Times New Roman" w:cs="Times New Roman"/>
        </w:rPr>
      </w:pPr>
      <w:r>
        <w:rPr>
          <w:rFonts w:ascii="Times New Roman" w:hAnsi="Times New Roman" w:cs="Times New Roman"/>
        </w:rPr>
        <w:t xml:space="preserve">Any additional documentation necessary to conclusively demonstrate the information required by LR 3012-1(a)(1). </w:t>
      </w:r>
      <w:r>
        <w:rPr>
          <w:rFonts w:ascii="Times New Roman" w:hAnsi="Times New Roman" w:cs="Times New Roman"/>
          <w:i/>
        </w:rPr>
        <w:t xml:space="preserve">See </w:t>
      </w:r>
      <w:r>
        <w:rPr>
          <w:rFonts w:ascii="Times New Roman" w:hAnsi="Times New Roman" w:cs="Times New Roman"/>
        </w:rPr>
        <w:t>section 7 above.</w:t>
      </w:r>
    </w:p>
    <w:p w:rsidR="005E4332" w:rsidRPr="0080056D" w:rsidRDefault="005E4332" w:rsidP="005E4332">
      <w:pPr>
        <w:rPr>
          <w:rFonts w:ascii="Times New Roman" w:hAnsi="Times New Roman" w:cs="Times New Roman"/>
        </w:rPr>
      </w:pPr>
      <w:r w:rsidRPr="0080056D">
        <w:rPr>
          <w:rFonts w:ascii="Times New Roman" w:hAnsi="Times New Roman" w:cs="Times New Roman"/>
          <w:b/>
        </w:rPr>
        <w:t>Service Requirements</w:t>
      </w:r>
    </w:p>
    <w:p w:rsidR="005E4332" w:rsidRPr="00820F9A" w:rsidRDefault="005E4332" w:rsidP="005E4332">
      <w:pPr>
        <w:pStyle w:val="ListParagraph"/>
        <w:numPr>
          <w:ilvl w:val="0"/>
          <w:numId w:val="3"/>
        </w:numPr>
        <w:rPr>
          <w:rFonts w:ascii="Times New Roman" w:hAnsi="Times New Roman" w:cs="Times New Roman"/>
        </w:rPr>
      </w:pPr>
      <w:r w:rsidRPr="00820F9A">
        <w:rPr>
          <w:rFonts w:ascii="Times New Roman" w:hAnsi="Times New Roman" w:cs="Times New Roman"/>
        </w:rPr>
        <w:t>The motion must be served on:</w:t>
      </w:r>
    </w:p>
    <w:p w:rsidR="005E4332" w:rsidRPr="0080056D" w:rsidRDefault="005E4332" w:rsidP="005E4332">
      <w:pPr>
        <w:pStyle w:val="ListParagraph"/>
        <w:ind w:left="360"/>
        <w:rPr>
          <w:rFonts w:ascii="Times New Roman" w:hAnsi="Times New Roman" w:cs="Times New Roman"/>
        </w:rPr>
      </w:pPr>
    </w:p>
    <w:p w:rsidR="005E4332" w:rsidRPr="0080056D"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lastRenderedPageBreak/>
        <w:t>All parties identified in LR</w:t>
      </w:r>
      <w:r>
        <w:rPr>
          <w:rFonts w:ascii="Times New Roman" w:hAnsi="Times New Roman" w:cs="Times New Roman"/>
        </w:rPr>
        <w:t xml:space="preserve"> 9013-3(a)(1); </w:t>
      </w:r>
    </w:p>
    <w:p w:rsidR="005E4332" w:rsidRPr="0080056D" w:rsidRDefault="005E4332" w:rsidP="005E4332">
      <w:pPr>
        <w:pStyle w:val="ListParagraph"/>
        <w:numPr>
          <w:ilvl w:val="2"/>
          <w:numId w:val="3"/>
        </w:numPr>
        <w:rPr>
          <w:rFonts w:ascii="Times New Roman" w:hAnsi="Times New Roman" w:cs="Times New Roman"/>
        </w:rPr>
      </w:pPr>
      <w:r>
        <w:rPr>
          <w:rFonts w:ascii="Times New Roman" w:hAnsi="Times New Roman" w:cs="Times New Roman"/>
        </w:rPr>
        <w:t>The debtor;</w:t>
      </w:r>
    </w:p>
    <w:p w:rsidR="005E4332" w:rsidRPr="0080056D" w:rsidRDefault="005E4332" w:rsidP="005E4332">
      <w:pPr>
        <w:pStyle w:val="ListParagraph"/>
        <w:numPr>
          <w:ilvl w:val="2"/>
          <w:numId w:val="3"/>
        </w:numPr>
        <w:rPr>
          <w:rFonts w:ascii="Times New Roman" w:hAnsi="Times New Roman" w:cs="Times New Roman"/>
        </w:rPr>
      </w:pPr>
      <w:r>
        <w:rPr>
          <w:rFonts w:ascii="Times New Roman" w:hAnsi="Times New Roman" w:cs="Times New Roman"/>
        </w:rPr>
        <w:t>The debtor’s attorney;</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The trustee</w:t>
      </w:r>
      <w:r>
        <w:rPr>
          <w:rFonts w:ascii="Times New Roman" w:hAnsi="Times New Roman" w:cs="Times New Roman"/>
        </w:rPr>
        <w:t>;</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 xml:space="preserve">The U.S. </w:t>
      </w:r>
      <w:r>
        <w:rPr>
          <w:rFonts w:ascii="Times New Roman" w:hAnsi="Times New Roman" w:cs="Times New Roman"/>
        </w:rPr>
        <w:t>Trustee;</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 xml:space="preserve">All entities that have filed requests for </w:t>
      </w:r>
      <w:r>
        <w:rPr>
          <w:rFonts w:ascii="Times New Roman" w:hAnsi="Times New Roman" w:cs="Times New Roman"/>
        </w:rPr>
        <w:t>notice or notices of appearance;</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Each entity claiming a lien or other interest in the property</w:t>
      </w:r>
      <w:r>
        <w:rPr>
          <w:rFonts w:ascii="Times New Roman" w:hAnsi="Times New Roman" w:cs="Times New Roman"/>
        </w:rPr>
        <w:t xml:space="preserve"> (t</w:t>
      </w:r>
      <w:r w:rsidRPr="0080056D">
        <w:rPr>
          <w:rFonts w:ascii="Times New Roman" w:hAnsi="Times New Roman" w:cs="Times New Roman"/>
        </w:rPr>
        <w:t>his may</w:t>
      </w:r>
      <w:r>
        <w:rPr>
          <w:rFonts w:ascii="Times New Roman" w:hAnsi="Times New Roman" w:cs="Times New Roman"/>
        </w:rPr>
        <w:t xml:space="preserve"> include spouses and ex-spouses); and</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Each entity against whom relief is sought.</w:t>
      </w:r>
    </w:p>
    <w:p w:rsidR="005E4332" w:rsidRPr="000239E2"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All creditors identified pursuant to LR 3012-1(</w:t>
      </w:r>
      <w:r>
        <w:rPr>
          <w:rFonts w:ascii="Times New Roman" w:hAnsi="Times New Roman" w:cs="Times New Roman"/>
        </w:rPr>
        <w:t>a)(1</w:t>
      </w:r>
      <w:r w:rsidRPr="0080056D">
        <w:rPr>
          <w:rFonts w:ascii="Times New Roman" w:hAnsi="Times New Roman" w:cs="Times New Roman"/>
        </w:rPr>
        <w:t>)</w:t>
      </w:r>
      <w:r>
        <w:rPr>
          <w:rFonts w:ascii="Times New Roman" w:hAnsi="Times New Roman" w:cs="Times New Roman"/>
        </w:rPr>
        <w:t>(G)</w:t>
      </w:r>
      <w:r w:rsidRPr="0080056D">
        <w:rPr>
          <w:rFonts w:ascii="Times New Roman" w:hAnsi="Times New Roman" w:cs="Times New Roman"/>
        </w:rPr>
        <w:t>;</w:t>
      </w:r>
    </w:p>
    <w:p w:rsidR="005E4332" w:rsidRPr="0080056D"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If MERS is acting as nominee, MERS and the underlying “holder/lender” should be served;</w:t>
      </w:r>
    </w:p>
    <w:p w:rsidR="005E4332" w:rsidRPr="0080056D"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If there is a servicer, both the holder and servicer should be served;</w:t>
      </w:r>
    </w:p>
    <w:p w:rsidR="005E4332"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 xml:space="preserve">If there is a POC, the POC notice party should </w:t>
      </w:r>
      <w:r>
        <w:rPr>
          <w:rFonts w:ascii="Times New Roman" w:hAnsi="Times New Roman" w:cs="Times New Roman"/>
        </w:rPr>
        <w:t xml:space="preserve">also </w:t>
      </w:r>
      <w:r w:rsidRPr="0080056D">
        <w:rPr>
          <w:rFonts w:ascii="Times New Roman" w:hAnsi="Times New Roman" w:cs="Times New Roman"/>
        </w:rPr>
        <w:t>be served.</w:t>
      </w:r>
    </w:p>
    <w:p w:rsidR="005E4332" w:rsidRPr="0080056D" w:rsidRDefault="005E4332" w:rsidP="005E4332">
      <w:pPr>
        <w:pStyle w:val="ListParagraph"/>
        <w:rPr>
          <w:rFonts w:ascii="Times New Roman" w:hAnsi="Times New Roman" w:cs="Times New Roman"/>
        </w:rPr>
      </w:pPr>
    </w:p>
    <w:p w:rsidR="005E4332" w:rsidRDefault="005E4332" w:rsidP="005E4332">
      <w:pPr>
        <w:pStyle w:val="ListParagraph"/>
        <w:numPr>
          <w:ilvl w:val="0"/>
          <w:numId w:val="3"/>
        </w:numPr>
        <w:rPr>
          <w:rFonts w:ascii="Times New Roman" w:hAnsi="Times New Roman" w:cs="Times New Roman"/>
        </w:rPr>
      </w:pPr>
      <w:r>
        <w:rPr>
          <w:rFonts w:ascii="Times New Roman" w:hAnsi="Times New Roman" w:cs="Times New Roman"/>
        </w:rPr>
        <w:t>Service must comply</w:t>
      </w:r>
      <w:r w:rsidRPr="0080056D">
        <w:rPr>
          <w:rFonts w:ascii="Times New Roman" w:hAnsi="Times New Roman" w:cs="Times New Roman"/>
        </w:rPr>
        <w:t xml:space="preserve"> with Fed. R. Bankr. P. 9014(b)</w:t>
      </w:r>
      <w:r>
        <w:rPr>
          <w:rFonts w:ascii="Times New Roman" w:hAnsi="Times New Roman" w:cs="Times New Roman"/>
        </w:rPr>
        <w:t xml:space="preserve">, which states: </w:t>
      </w:r>
      <w:r w:rsidRPr="0080056D">
        <w:rPr>
          <w:rFonts w:ascii="Times New Roman" w:hAnsi="Times New Roman" w:cs="Times New Roman"/>
        </w:rPr>
        <w:t>“[t]he motion shall be served in the manner provided for service of a summons and complaint by Federal Rule 7004 and within the time determined under Rule 9006(d).”</w:t>
      </w:r>
    </w:p>
    <w:p w:rsidR="005E4332" w:rsidRPr="0080056D" w:rsidRDefault="005E4332" w:rsidP="005E4332">
      <w:pPr>
        <w:pStyle w:val="ListParagraph"/>
        <w:ind w:left="360"/>
        <w:rPr>
          <w:rFonts w:ascii="Times New Roman" w:hAnsi="Times New Roman" w:cs="Times New Roman"/>
        </w:rPr>
      </w:pPr>
    </w:p>
    <w:p w:rsidR="005E4332" w:rsidRPr="0080056D"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 xml:space="preserve">Federal Rule 7004(b) allows for service via first-class mail, </w:t>
      </w:r>
      <w:r>
        <w:rPr>
          <w:rFonts w:ascii="Times New Roman" w:hAnsi="Times New Roman" w:cs="Times New Roman"/>
        </w:rPr>
        <w:t>to the following entities:</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Individuals: must mail a copy of the motion to the individual’s dwelling house or usual place of abode or to the place where the individual regularly conducts business.</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Corporations/Partnerships/Unincorporated Business Entities: must mail a copy of the motion to an officer, a managing or general agent, or to any other agent authorized by appointment or by law to receive service.</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United States: must mail a copy to the civil process clerk at the office of the United States attorney for the district in which the action is brought AND to the Attorney General of the United States at Washington, District of Columbia.</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An Officer or Agency of the United States: serve in the same way as service on the United States, in addition to serving the officer or agency.</w:t>
      </w:r>
    </w:p>
    <w:p w:rsidR="005E4332" w:rsidRPr="0080056D" w:rsidRDefault="005E4332" w:rsidP="005E4332">
      <w:pPr>
        <w:pStyle w:val="ListParagraph"/>
        <w:numPr>
          <w:ilvl w:val="2"/>
          <w:numId w:val="3"/>
        </w:numPr>
        <w:rPr>
          <w:rFonts w:ascii="Times New Roman" w:hAnsi="Times New Roman" w:cs="Times New Roman"/>
        </w:rPr>
      </w:pPr>
      <w:r w:rsidRPr="0080056D">
        <w:rPr>
          <w:rFonts w:ascii="Times New Roman" w:hAnsi="Times New Roman" w:cs="Times New Roman"/>
        </w:rPr>
        <w:t>State/Municipal Corporations/Other Government Organizations: must mail a copy of the motion to the person or office upon whom the law of the state in which the motion is served would dictate if a lawsuit was brought in the state’s courts of general jurisdiction, or in the absence of such a person or office, then on the chief executive officer of the state/municipal corporation/government organization.</w:t>
      </w:r>
    </w:p>
    <w:p w:rsidR="005E4332" w:rsidRPr="0080056D" w:rsidRDefault="005E4332" w:rsidP="005E4332">
      <w:pPr>
        <w:pStyle w:val="ListParagraph"/>
        <w:numPr>
          <w:ilvl w:val="3"/>
          <w:numId w:val="3"/>
        </w:numPr>
        <w:rPr>
          <w:rFonts w:ascii="Times New Roman" w:hAnsi="Times New Roman" w:cs="Times New Roman"/>
        </w:rPr>
      </w:pPr>
      <w:r w:rsidRPr="0080056D">
        <w:rPr>
          <w:rFonts w:ascii="Times New Roman" w:hAnsi="Times New Roman" w:cs="Times New Roman"/>
        </w:rPr>
        <w:t>Service upon the State: motion must be served on the attorney general, a deputy attorney general, or an assistant attorney general.  MNRCP 4.03(d).</w:t>
      </w:r>
    </w:p>
    <w:p w:rsidR="005E4332" w:rsidRDefault="005E4332" w:rsidP="005E4332">
      <w:pPr>
        <w:pStyle w:val="ListParagraph"/>
        <w:numPr>
          <w:ilvl w:val="3"/>
          <w:numId w:val="3"/>
        </w:numPr>
        <w:rPr>
          <w:rFonts w:ascii="Times New Roman" w:hAnsi="Times New Roman" w:cs="Times New Roman"/>
        </w:rPr>
      </w:pPr>
      <w:r w:rsidRPr="0080056D">
        <w:rPr>
          <w:rFonts w:ascii="Times New Roman" w:hAnsi="Times New Roman" w:cs="Times New Roman"/>
        </w:rPr>
        <w:t>Service upon Public Corporations: Refer to the list that essentially requires service on the person or persons in charge of the corporation.  MNRCP 4.03(e).</w:t>
      </w:r>
    </w:p>
    <w:p w:rsidR="005E4332" w:rsidRPr="005E4332" w:rsidRDefault="005E4332" w:rsidP="005E4332">
      <w:pPr>
        <w:pStyle w:val="ListParagraph"/>
        <w:numPr>
          <w:ilvl w:val="1"/>
          <w:numId w:val="3"/>
        </w:numPr>
        <w:tabs>
          <w:tab w:val="left" w:pos="2070"/>
        </w:tabs>
        <w:rPr>
          <w:rFonts w:ascii="Times New Roman" w:hAnsi="Times New Roman" w:cs="Times New Roman"/>
        </w:rPr>
      </w:pPr>
      <w:r>
        <w:rPr>
          <w:rFonts w:ascii="Times New Roman" w:hAnsi="Times New Roman" w:cs="Times New Roman"/>
        </w:rPr>
        <w:t xml:space="preserve">When </w:t>
      </w:r>
      <w:r w:rsidR="00EA25F1">
        <w:rPr>
          <w:rFonts w:ascii="Times New Roman" w:hAnsi="Times New Roman" w:cs="Times New Roman"/>
        </w:rPr>
        <w:t>serving</w:t>
      </w:r>
      <w:r>
        <w:rPr>
          <w:rFonts w:ascii="Times New Roman" w:hAnsi="Times New Roman" w:cs="Times New Roman"/>
        </w:rPr>
        <w:t xml:space="preserve"> an Insured Depository Institution, </w:t>
      </w:r>
      <w:r w:rsidRPr="005E4332">
        <w:rPr>
          <w:rFonts w:ascii="Times New Roman" w:hAnsi="Times New Roman" w:cs="Times New Roman"/>
        </w:rPr>
        <w:t>Federal Rule 7004(b) requires</w:t>
      </w:r>
      <w:r w:rsidRPr="005E4332">
        <w:rPr>
          <w:rFonts w:ascii="Times New Roman" w:hAnsi="Times New Roman" w:cs="Times New Roman"/>
        </w:rPr>
        <w:t>, with narrow exceptions,</w:t>
      </w:r>
      <w:r w:rsidRPr="005E4332">
        <w:rPr>
          <w:rFonts w:ascii="Times New Roman" w:hAnsi="Times New Roman" w:cs="Times New Roman"/>
        </w:rPr>
        <w:t xml:space="preserve"> service by certified mail </w:t>
      </w:r>
      <w:r>
        <w:rPr>
          <w:rFonts w:ascii="Times New Roman" w:hAnsi="Times New Roman" w:cs="Times New Roman"/>
        </w:rPr>
        <w:t>a</w:t>
      </w:r>
      <w:r w:rsidRPr="005E4332">
        <w:rPr>
          <w:rFonts w:ascii="Times New Roman" w:hAnsi="Times New Roman" w:cs="Times New Roman"/>
        </w:rPr>
        <w:t>ddressed to an officer,</w:t>
      </w:r>
      <w:r w:rsidRPr="005E4332">
        <w:rPr>
          <w:rFonts w:ascii="Times New Roman" w:hAnsi="Times New Roman" w:cs="Times New Roman"/>
        </w:rPr>
        <w:t xml:space="preserve"> </w:t>
      </w:r>
      <w:r>
        <w:rPr>
          <w:rFonts w:ascii="Times New Roman" w:hAnsi="Times New Roman" w:cs="Times New Roman"/>
        </w:rPr>
        <w:t>unless the institution has appeared by its attorney</w:t>
      </w:r>
      <w:r w:rsidRPr="005E4332">
        <w:rPr>
          <w:rFonts w:ascii="Times New Roman" w:hAnsi="Times New Roman" w:cs="Times New Roman"/>
        </w:rPr>
        <w:t xml:space="preserve">. </w:t>
      </w:r>
      <w:bookmarkStart w:id="0" w:name="_GoBack"/>
      <w:bookmarkEnd w:id="0"/>
    </w:p>
    <w:p w:rsidR="005E4332" w:rsidRPr="00053FEF" w:rsidRDefault="005E4332" w:rsidP="005E4332">
      <w:pPr>
        <w:pStyle w:val="ListParagraph"/>
        <w:numPr>
          <w:ilvl w:val="2"/>
          <w:numId w:val="3"/>
        </w:numPr>
        <w:tabs>
          <w:tab w:val="left" w:pos="2070"/>
        </w:tabs>
        <w:rPr>
          <w:rFonts w:ascii="Times New Roman" w:hAnsi="Times New Roman" w:cs="Times New Roman"/>
        </w:rPr>
      </w:pPr>
      <w:r w:rsidRPr="00053FEF">
        <w:rPr>
          <w:rFonts w:ascii="Times New Roman" w:hAnsi="Times New Roman" w:cs="Times New Roman"/>
        </w:rPr>
        <w:t xml:space="preserve">Note: do not assume an attorney who filed </w:t>
      </w:r>
      <w:r>
        <w:rPr>
          <w:rFonts w:ascii="Times New Roman" w:hAnsi="Times New Roman" w:cs="Times New Roman"/>
        </w:rPr>
        <w:t>a notice of appearance “appeared” for the institution for purposes of a motion to value</w:t>
      </w:r>
      <w:r w:rsidRPr="00053FEF">
        <w:rPr>
          <w:rFonts w:ascii="Times New Roman" w:hAnsi="Times New Roman" w:cs="Times New Roman"/>
        </w:rPr>
        <w:t xml:space="preserve">. </w:t>
      </w:r>
    </w:p>
    <w:p w:rsidR="005E4332" w:rsidRDefault="005E4332" w:rsidP="005E4332">
      <w:pPr>
        <w:pStyle w:val="ListParagraph"/>
        <w:numPr>
          <w:ilvl w:val="0"/>
          <w:numId w:val="3"/>
        </w:numPr>
        <w:rPr>
          <w:rFonts w:ascii="Times New Roman" w:hAnsi="Times New Roman" w:cs="Times New Roman"/>
        </w:rPr>
      </w:pPr>
      <w:r w:rsidRPr="0080056D">
        <w:rPr>
          <w:rFonts w:ascii="Times New Roman" w:hAnsi="Times New Roman" w:cs="Times New Roman"/>
        </w:rPr>
        <w:lastRenderedPageBreak/>
        <w:t>The proof of service must indicate how the identity and address were determined for the recipient of service on behalf of the creditor whose claim is the subject of the motion. LR 3012-1(</w:t>
      </w:r>
      <w:r>
        <w:rPr>
          <w:rFonts w:ascii="Times New Roman" w:hAnsi="Times New Roman" w:cs="Times New Roman"/>
        </w:rPr>
        <w:t>a</w:t>
      </w:r>
      <w:r w:rsidRPr="0080056D">
        <w:rPr>
          <w:rFonts w:ascii="Times New Roman" w:hAnsi="Times New Roman" w:cs="Times New Roman"/>
        </w:rPr>
        <w:t>)(</w:t>
      </w:r>
      <w:r>
        <w:rPr>
          <w:rFonts w:ascii="Times New Roman" w:hAnsi="Times New Roman" w:cs="Times New Roman"/>
        </w:rPr>
        <w:t>3</w:t>
      </w:r>
      <w:r w:rsidRPr="0080056D">
        <w:rPr>
          <w:rFonts w:ascii="Times New Roman" w:hAnsi="Times New Roman" w:cs="Times New Roman"/>
        </w:rPr>
        <w:t>)</w:t>
      </w:r>
      <w:r>
        <w:rPr>
          <w:rFonts w:ascii="Times New Roman" w:hAnsi="Times New Roman" w:cs="Times New Roman"/>
        </w:rPr>
        <w:t>(B)</w:t>
      </w:r>
      <w:r w:rsidRPr="0080056D">
        <w:rPr>
          <w:rFonts w:ascii="Times New Roman" w:hAnsi="Times New Roman" w:cs="Times New Roman"/>
        </w:rPr>
        <w:t xml:space="preserve">.  </w:t>
      </w:r>
    </w:p>
    <w:p w:rsidR="005E4332" w:rsidRDefault="005E4332" w:rsidP="005E4332">
      <w:pPr>
        <w:pStyle w:val="ListParagraph"/>
        <w:numPr>
          <w:ilvl w:val="1"/>
          <w:numId w:val="3"/>
        </w:numPr>
        <w:rPr>
          <w:rFonts w:ascii="Times New Roman" w:hAnsi="Times New Roman" w:cs="Times New Roman"/>
        </w:rPr>
      </w:pPr>
      <w:r w:rsidRPr="0080056D">
        <w:rPr>
          <w:rFonts w:ascii="Times New Roman" w:hAnsi="Times New Roman" w:cs="Times New Roman"/>
        </w:rPr>
        <w:t xml:space="preserve">This should be provided for all holders of claims against the property. </w:t>
      </w:r>
    </w:p>
    <w:p w:rsidR="005E4332" w:rsidRDefault="005E4332" w:rsidP="005E4332">
      <w:pPr>
        <w:pStyle w:val="ListParagraph"/>
        <w:numPr>
          <w:ilvl w:val="1"/>
          <w:numId w:val="3"/>
        </w:numPr>
        <w:rPr>
          <w:rFonts w:ascii="Times New Roman" w:hAnsi="Times New Roman" w:cs="Times New Roman"/>
        </w:rPr>
      </w:pPr>
      <w:r>
        <w:rPr>
          <w:rFonts w:ascii="Times New Roman" w:hAnsi="Times New Roman" w:cs="Times New Roman"/>
        </w:rPr>
        <w:t xml:space="preserve">Acceptable sources: the creditor, </w:t>
      </w:r>
      <w:r w:rsidRPr="0080056D">
        <w:rPr>
          <w:rFonts w:ascii="Times New Roman" w:hAnsi="Times New Roman" w:cs="Times New Roman"/>
        </w:rPr>
        <w:t>the SEC</w:t>
      </w:r>
      <w:r>
        <w:rPr>
          <w:rFonts w:ascii="Times New Roman" w:hAnsi="Times New Roman" w:cs="Times New Roman"/>
        </w:rPr>
        <w:t>,</w:t>
      </w:r>
      <w:r w:rsidRPr="0080056D">
        <w:rPr>
          <w:rFonts w:ascii="Times New Roman" w:hAnsi="Times New Roman" w:cs="Times New Roman"/>
        </w:rPr>
        <w:t xml:space="preserve"> and </w:t>
      </w:r>
      <w:r>
        <w:rPr>
          <w:rFonts w:ascii="Times New Roman" w:hAnsi="Times New Roman" w:cs="Times New Roman"/>
        </w:rPr>
        <w:t xml:space="preserve">the </w:t>
      </w:r>
      <w:r w:rsidRPr="0080056D">
        <w:rPr>
          <w:rFonts w:ascii="Times New Roman" w:hAnsi="Times New Roman" w:cs="Times New Roman"/>
        </w:rPr>
        <w:t xml:space="preserve">applicable Secretary of State.  </w:t>
      </w:r>
    </w:p>
    <w:p w:rsidR="005E4332" w:rsidRDefault="005E4332" w:rsidP="005E4332">
      <w:pPr>
        <w:pStyle w:val="ListParagraph"/>
        <w:numPr>
          <w:ilvl w:val="1"/>
          <w:numId w:val="3"/>
        </w:numPr>
        <w:rPr>
          <w:rFonts w:ascii="Times New Roman" w:hAnsi="Times New Roman" w:cs="Times New Roman"/>
        </w:rPr>
      </w:pPr>
      <w:r>
        <w:rPr>
          <w:rFonts w:ascii="Times New Roman" w:hAnsi="Times New Roman" w:cs="Times New Roman"/>
        </w:rPr>
        <w:t>If using a webpage, provide</w:t>
      </w:r>
      <w:r w:rsidRPr="0080056D">
        <w:rPr>
          <w:rFonts w:ascii="Times New Roman" w:hAnsi="Times New Roman" w:cs="Times New Roman"/>
        </w:rPr>
        <w:t xml:space="preserve"> </w:t>
      </w:r>
      <w:r>
        <w:rPr>
          <w:rFonts w:ascii="Times New Roman" w:hAnsi="Times New Roman" w:cs="Times New Roman"/>
        </w:rPr>
        <w:t>a screenshot of the webpage and the date of access.</w:t>
      </w:r>
    </w:p>
    <w:p w:rsidR="005E4332" w:rsidRDefault="005E4332" w:rsidP="005E4332">
      <w:pPr>
        <w:pStyle w:val="ListParagraph"/>
        <w:ind w:left="360"/>
        <w:rPr>
          <w:rFonts w:ascii="Times New Roman" w:hAnsi="Times New Roman" w:cs="Times New Roman"/>
        </w:rPr>
      </w:pPr>
    </w:p>
    <w:p w:rsidR="005E4332" w:rsidRPr="00C90347" w:rsidRDefault="005E4332" w:rsidP="005E4332">
      <w:pPr>
        <w:pStyle w:val="ListParagraph"/>
        <w:numPr>
          <w:ilvl w:val="0"/>
          <w:numId w:val="3"/>
        </w:numPr>
        <w:rPr>
          <w:rFonts w:ascii="Times New Roman" w:hAnsi="Times New Roman" w:cs="Times New Roman"/>
        </w:rPr>
      </w:pPr>
      <w:r>
        <w:rPr>
          <w:rFonts w:ascii="Times New Roman" w:hAnsi="Times New Roman" w:cs="Times New Roman"/>
        </w:rPr>
        <w:t>Any amended motion must be served on all parties served with the original motion and on any other entity that holds an interest in the property at the time the amended motion is filed. LR 3012-1(a)(3)(C).</w:t>
      </w:r>
    </w:p>
    <w:p w:rsidR="005E4332" w:rsidRPr="0080056D" w:rsidRDefault="005E4332" w:rsidP="005E4332">
      <w:pPr>
        <w:pStyle w:val="ListParagraph"/>
        <w:ind w:left="360"/>
        <w:rPr>
          <w:rFonts w:ascii="Times New Roman" w:hAnsi="Times New Roman" w:cs="Times New Roman"/>
        </w:rPr>
      </w:pPr>
    </w:p>
    <w:p w:rsidR="005E4332" w:rsidRPr="00C661A5" w:rsidRDefault="005E4332" w:rsidP="005E4332">
      <w:pPr>
        <w:pStyle w:val="ListParagraph"/>
        <w:numPr>
          <w:ilvl w:val="0"/>
          <w:numId w:val="3"/>
        </w:numPr>
        <w:rPr>
          <w:rFonts w:ascii="Times New Roman" w:hAnsi="Times New Roman" w:cs="Times New Roman"/>
        </w:rPr>
      </w:pPr>
      <w:r w:rsidRPr="0080056D">
        <w:rPr>
          <w:rFonts w:ascii="Times New Roman" w:hAnsi="Times New Roman" w:cs="Times New Roman"/>
        </w:rPr>
        <w:t>In general, “over-serve” the motion.  (It may not be over-service).  For example, send a copy first-class to the address indicated on the proof of claim in addition to the certified copy to the CEO, and serve any counsel.</w:t>
      </w:r>
    </w:p>
    <w:p w:rsidR="005E4332" w:rsidRPr="00C661A5" w:rsidRDefault="005E4332" w:rsidP="005E4332">
      <w:pPr>
        <w:pStyle w:val="ListParagraph"/>
        <w:ind w:left="360"/>
        <w:rPr>
          <w:rFonts w:ascii="Times New Roman" w:hAnsi="Times New Roman" w:cs="Times New Roman"/>
        </w:rPr>
      </w:pPr>
    </w:p>
    <w:p w:rsidR="005E4332" w:rsidRPr="0080056D" w:rsidRDefault="005E4332" w:rsidP="005E4332">
      <w:pPr>
        <w:pStyle w:val="ListParagraph"/>
        <w:numPr>
          <w:ilvl w:val="0"/>
          <w:numId w:val="3"/>
        </w:numPr>
        <w:rPr>
          <w:rFonts w:ascii="Times New Roman" w:hAnsi="Times New Roman" w:cs="Times New Roman"/>
        </w:rPr>
      </w:pPr>
      <w:r w:rsidRPr="0080056D">
        <w:rPr>
          <w:rFonts w:ascii="Times New Roman" w:hAnsi="Times New Roman" w:cs="Times New Roman"/>
        </w:rPr>
        <w:t>File a supplemental proof of service with copies of the certified mail return receipts or electronic proof the certified mail was received.</w:t>
      </w:r>
    </w:p>
    <w:p w:rsidR="005E4332" w:rsidRDefault="005E4332" w:rsidP="005E4332"/>
    <w:p w:rsidR="004B2FB0" w:rsidRDefault="004B2FB0"/>
    <w:sectPr w:rsidR="004B2FB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91545"/>
      <w:docPartObj>
        <w:docPartGallery w:val="Page Numbers (Bottom of Page)"/>
        <w:docPartUnique/>
      </w:docPartObj>
    </w:sdtPr>
    <w:sdtEndPr>
      <w:rPr>
        <w:noProof/>
      </w:rPr>
    </w:sdtEndPr>
    <w:sdtContent>
      <w:p w:rsidR="003375F0" w:rsidRDefault="00351EFC">
        <w:pPr>
          <w:pStyle w:val="Footer"/>
          <w:jc w:val="center"/>
        </w:pPr>
        <w:r w:rsidRPr="003375F0">
          <w:rPr>
            <w:rFonts w:ascii="Times New Roman" w:hAnsi="Times New Roman" w:cs="Times New Roman"/>
          </w:rPr>
          <w:fldChar w:fldCharType="begin"/>
        </w:r>
        <w:r w:rsidRPr="003375F0">
          <w:rPr>
            <w:rFonts w:ascii="Times New Roman" w:hAnsi="Times New Roman" w:cs="Times New Roman"/>
          </w:rPr>
          <w:instrText xml:space="preserve"> PAGE   \* MERGEFORMAT </w:instrText>
        </w:r>
        <w:r w:rsidRPr="003375F0">
          <w:rPr>
            <w:rFonts w:ascii="Times New Roman" w:hAnsi="Times New Roman" w:cs="Times New Roman"/>
          </w:rPr>
          <w:fldChar w:fldCharType="separate"/>
        </w:r>
        <w:r>
          <w:rPr>
            <w:rFonts w:ascii="Times New Roman" w:hAnsi="Times New Roman" w:cs="Times New Roman"/>
            <w:noProof/>
          </w:rPr>
          <w:t>4</w:t>
        </w:r>
        <w:r w:rsidRPr="003375F0">
          <w:rPr>
            <w:rFonts w:ascii="Times New Roman" w:hAnsi="Times New Roman" w:cs="Times New Roman"/>
            <w:noProof/>
          </w:rPr>
          <w:fldChar w:fldCharType="end"/>
        </w:r>
      </w:p>
    </w:sdtContent>
  </w:sdt>
  <w:p w:rsidR="00F8488A" w:rsidRDefault="00351EF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7138"/>
    <w:multiLevelType w:val="hybridMultilevel"/>
    <w:tmpl w:val="9D92831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BC4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811B16"/>
    <w:multiLevelType w:val="hybridMultilevel"/>
    <w:tmpl w:val="56765D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32"/>
    <w:rsid w:val="00351EFC"/>
    <w:rsid w:val="004B2FB0"/>
    <w:rsid w:val="005E4332"/>
    <w:rsid w:val="00686335"/>
    <w:rsid w:val="00EA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32"/>
    <w:pPr>
      <w:ind w:left="720"/>
      <w:contextualSpacing/>
    </w:pPr>
  </w:style>
  <w:style w:type="paragraph" w:styleId="Footer">
    <w:name w:val="footer"/>
    <w:basedOn w:val="Normal"/>
    <w:link w:val="FooterChar"/>
    <w:uiPriority w:val="99"/>
    <w:unhideWhenUsed/>
    <w:rsid w:val="005E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32"/>
    <w:pPr>
      <w:ind w:left="720"/>
      <w:contextualSpacing/>
    </w:pPr>
  </w:style>
  <w:style w:type="paragraph" w:styleId="Footer">
    <w:name w:val="footer"/>
    <w:basedOn w:val="Normal"/>
    <w:link w:val="FooterChar"/>
    <w:uiPriority w:val="99"/>
    <w:unhideWhenUsed/>
    <w:rsid w:val="005E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Martin</dc:creator>
  <cp:lastModifiedBy>Will Martin</cp:lastModifiedBy>
  <cp:revision>2</cp:revision>
  <dcterms:created xsi:type="dcterms:W3CDTF">2017-12-11T22:44:00Z</dcterms:created>
  <dcterms:modified xsi:type="dcterms:W3CDTF">2017-12-11T22:44:00Z</dcterms:modified>
</cp:coreProperties>
</file>